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AB2" w:rsidRPr="00787BF1" w:rsidRDefault="00E35AB2" w:rsidP="00E35AB2">
      <w:pPr>
        <w:pStyle w:val="Heading2"/>
      </w:pPr>
      <w:bookmarkStart w:id="0" w:name="_Toc155342964"/>
      <w:bookmarkStart w:id="1" w:name="_GoBack"/>
      <w:r w:rsidRPr="00787BF1">
        <w:rPr>
          <w:b/>
          <w:sz w:val="24"/>
        </w:rPr>
        <w:t>286. TƯ PHÁP QUỐC TẾ</w:t>
      </w:r>
      <w:bookmarkEnd w:id="1"/>
      <w:r w:rsidRPr="00787BF1">
        <w:t>, lĩnh vực pháp luật đặc thù trong hệ thống pháp luật quốc gia, bao gồm tổng thể các nguyên tắc, quy phạm pháp luật điều chỉnh những quan hệ có tính chất dân sự có yếu tố nước ngoài.</w:t>
      </w:r>
      <w:bookmarkEnd w:id="0"/>
      <w:r w:rsidRPr="00787BF1">
        <w:t xml:space="preserve"> </w:t>
      </w:r>
    </w:p>
    <w:p w:rsidR="00E35AB2" w:rsidRPr="00787BF1" w:rsidRDefault="00E35AB2" w:rsidP="00E35AB2">
      <w:pPr>
        <w:widowControl w:val="0"/>
        <w:adjustRightInd w:val="0"/>
        <w:snapToGrid w:val="0"/>
        <w:spacing w:before="120"/>
        <w:ind w:firstLine="284"/>
        <w:jc w:val="both"/>
        <w:rPr>
          <w:bCs/>
          <w:iCs/>
          <w:szCs w:val="28"/>
        </w:rPr>
      </w:pPr>
      <w:r w:rsidRPr="00787BF1">
        <w:rPr>
          <w:bCs/>
          <w:iCs/>
          <w:szCs w:val="28"/>
        </w:rPr>
        <w:t>So với các lĩnh vực pháp luật khác, TPQT là một lĩnh vực tương đối mới mẻ. Khái niệm TPQT lần đầu tiên được sử dụng bởi tác giả Joseph Story vào năm 1834, sau đó được du nhập và sử dụng phổ biến tại châu Âu. Cho đến hiện nay, vẫn có những cách nhìn khác nhau về phạm vi, lĩnh vực của Tư pháp quốc tế. Tại một số nước, TPQT được nhìn nhận rất rộng, bao gồm bốn lĩnh vực là quy định về địa vị pháp lý của người nước ngoài, pháp nhân và nhà nước nước ngoài; Xung đột quốc tịch và giải quyết xung đột về quốc tịch; Xung đột pháp luật và giải quyết xung đột pháp luật; Xung đột thẩm quyền tài phán tư pháp hay còn gọi là tố tụng dân sự quốc tế. Tại những nước khác, TPQT được nhìn nhận là một lĩnh vực pháp luật bao gồm vấn đề xung đột pháp luật và xung đột về thẩm quyền tài phán tư pháp dân sự. Thậm chí tại một số ít nước, TPQT chỉ bao gồm các quy định về vấn đề xung đột pháp luật, lựa chọn pháp luật áp dụng</w:t>
      </w:r>
    </w:p>
    <w:p w:rsidR="00E35AB2" w:rsidRPr="00787BF1" w:rsidRDefault="00E35AB2" w:rsidP="00E35AB2">
      <w:pPr>
        <w:widowControl w:val="0"/>
        <w:adjustRightInd w:val="0"/>
        <w:snapToGrid w:val="0"/>
        <w:spacing w:before="120"/>
        <w:ind w:firstLine="284"/>
        <w:jc w:val="both"/>
        <w:rPr>
          <w:bCs/>
          <w:iCs/>
          <w:szCs w:val="28"/>
        </w:rPr>
      </w:pPr>
      <w:r w:rsidRPr="00787BF1">
        <w:rPr>
          <w:bCs/>
          <w:iCs/>
          <w:szCs w:val="28"/>
        </w:rPr>
        <w:t xml:space="preserve">TPQT có đối tượng điều chỉnh là những quan hệ xã hội mang tính chất dân sự và có yếu tố nước ngoài. Quan hệ mang tính chất dân sự (quan hệ dân sự theo nghĩa rộng hay quan hệ thuộc lĩnh vực luật tư) bao gồm các quan hệ dân sự, lao động, thương mại, hôn nhân và gia đình, tố tụng dân sự…Các quan hệ này được coi là có yếu tố nước ngoài, hay mang tính chất quốc tế khi chúng vượt ra khỏi phạm vi biên giới một quốc gia, liên quan đến ít nhất hai quốc gia khác nhau. </w:t>
      </w:r>
    </w:p>
    <w:p w:rsidR="00E35AB2" w:rsidRPr="00787BF1" w:rsidRDefault="00E35AB2" w:rsidP="00E35AB2">
      <w:pPr>
        <w:widowControl w:val="0"/>
        <w:adjustRightInd w:val="0"/>
        <w:snapToGrid w:val="0"/>
        <w:spacing w:before="120"/>
        <w:ind w:firstLine="284"/>
        <w:jc w:val="both"/>
        <w:rPr>
          <w:bCs/>
          <w:iCs/>
          <w:szCs w:val="28"/>
        </w:rPr>
      </w:pPr>
      <w:r w:rsidRPr="00787BF1">
        <w:rPr>
          <w:bCs/>
          <w:iCs/>
          <w:szCs w:val="28"/>
        </w:rPr>
        <w:t xml:space="preserve">Chủ thể tham gia các quan hệ là đối tượng điều chỉnh của TPQT chủ yếu là các thể nhân, pháp nhân. Trong trường hợp đặc biệt, Nhà nước cũng là chủ thể của các quan hệ này. </w:t>
      </w:r>
    </w:p>
    <w:p w:rsidR="00E35AB2" w:rsidRPr="00787BF1" w:rsidRDefault="00E35AB2" w:rsidP="00E35AB2">
      <w:pPr>
        <w:widowControl w:val="0"/>
        <w:adjustRightInd w:val="0"/>
        <w:snapToGrid w:val="0"/>
        <w:spacing w:before="120"/>
        <w:ind w:firstLine="284"/>
        <w:jc w:val="both"/>
        <w:rPr>
          <w:bCs/>
          <w:iCs/>
          <w:szCs w:val="28"/>
        </w:rPr>
      </w:pPr>
      <w:r w:rsidRPr="00787BF1">
        <w:rPr>
          <w:bCs/>
          <w:iCs/>
          <w:szCs w:val="28"/>
        </w:rPr>
        <w:t xml:space="preserve">TPQT có hai phương pháp điều chỉnh: phương pháp thực chất và phương pháp xung đột. Phương pháp thực chất, hay phương pháp trực tiếp dùng các quy phạm thực chất quy định trực tiếp quyền và nghĩa vụ pháp lý của các bên chủ thể trong các quan hệ là đối tượng điều chỉnh của Tư pháp quốc tế. Phương pháp xung đột, hay phương pháp gián tiếp là phương pháp sử dụng các quy phạm xung đột, nhằm lựa chọn hệ thống pháp luật thích hợp để điều chỉnh quan hệ pháp luật liên quan. </w:t>
      </w:r>
    </w:p>
    <w:p w:rsidR="00E35AB2" w:rsidRPr="00787BF1" w:rsidRDefault="00E35AB2" w:rsidP="00E35AB2">
      <w:pPr>
        <w:widowControl w:val="0"/>
        <w:adjustRightInd w:val="0"/>
        <w:snapToGrid w:val="0"/>
        <w:spacing w:before="120"/>
        <w:ind w:firstLine="284"/>
        <w:jc w:val="both"/>
        <w:rPr>
          <w:bCs/>
          <w:iCs/>
          <w:szCs w:val="28"/>
        </w:rPr>
      </w:pPr>
      <w:r w:rsidRPr="00787BF1">
        <w:rPr>
          <w:bCs/>
          <w:iCs/>
          <w:szCs w:val="28"/>
        </w:rPr>
        <w:t xml:space="preserve">TPQT có hai loại quy phạm: quy phạm thực chất và quy phạm xung đột. Quy phạm thực chất là quy phạm pháp luật thông thường, quy định trực tiếp quyền và nghĩa vụ của các bên chủ thể khi tham gia vào một quan hệ của TPQT. Quy phạm xung đột là một loại quy phạm pháp luật đặc thù của TPQT, không quy định trực tiếp quyền và nghĩa vụ của các bên, mà chỉ quy định các tiêu chí nhằm xác định hệ thống pháp luật cần phải được áp dụng trong những hệ thống pháp luật có liên quan. Các quy phạm của TPQT có thể do từng quốc gia xây dựng ra, tùy trường hợp được gọi là quy phạm xung đột quốc gia hay quy phạm thực chất quốc gia. Chúng cũng có thể được các quốc gia thống nhất xây dựng hoặc thừa nhận. Khi đó, chúng được gọi là quy phạm xung đột và quy phạm thực chất thống nhất hay quốc tế. </w:t>
      </w:r>
    </w:p>
    <w:p w:rsidR="00E35AB2" w:rsidRPr="00787BF1" w:rsidRDefault="00E35AB2" w:rsidP="00E35AB2">
      <w:pPr>
        <w:widowControl w:val="0"/>
        <w:adjustRightInd w:val="0"/>
        <w:snapToGrid w:val="0"/>
        <w:spacing w:before="120"/>
        <w:ind w:firstLine="284"/>
        <w:jc w:val="both"/>
        <w:rPr>
          <w:bCs/>
          <w:iCs/>
          <w:szCs w:val="28"/>
        </w:rPr>
      </w:pPr>
      <w:r w:rsidRPr="00787BF1">
        <w:rPr>
          <w:bCs/>
          <w:iCs/>
          <w:szCs w:val="28"/>
        </w:rPr>
        <w:t xml:space="preserve">Các quy phạm của TPQT được thể hiện dưới nhiều loại nguồn khác nhau. Cách </w:t>
      </w:r>
      <w:r w:rsidRPr="00787BF1">
        <w:rPr>
          <w:bCs/>
          <w:iCs/>
          <w:szCs w:val="28"/>
        </w:rPr>
        <w:lastRenderedPageBreak/>
        <w:t xml:space="preserve">phân loại phổ biến và có ý nghĩa hơn cả là phân thành nguồn trong nước (quốc gia) và nguồn quốc tế. Trong nước, các quy phạm của TPQT được thể hiện dưới hình thức các văn bản pháp luật, tập quán, án lệ. Đối với nguồn quốc tế, các quy phạm của TPQT chủ yếu tồn tại trong các điều ước quốc tế, tập quán quốc tế, án lệ quốc tế và những nguyên tắc chung của pháp luật. Tại một số nước có hoạt động pháp điển hóa TPQT phát triển, các quy phạm của TPQT được tập hợp, pháp điển hóa trong một đạo luật thống nhất. Tại đa số các nước, các quy định của TPQT nằm rải rác ở những văn bản pháp luật khác nhau như Bộ luật Dân sự, Bộ luật Tố tụng dân sự, Luật Hôn nhân và Gia đình, Luật Thương mại, Bộ luật Hàng hải…Ở các nước còn lại, hầu hết các quy định của TPQT tồn tại dưới hình thức án lệ. </w:t>
      </w:r>
    </w:p>
    <w:p w:rsidR="00E35AB2" w:rsidRPr="00787BF1" w:rsidRDefault="00E35AB2" w:rsidP="00E35AB2">
      <w:pPr>
        <w:widowControl w:val="0"/>
        <w:adjustRightInd w:val="0"/>
        <w:snapToGrid w:val="0"/>
        <w:spacing w:before="120"/>
        <w:ind w:firstLine="284"/>
        <w:jc w:val="both"/>
        <w:rPr>
          <w:bCs/>
          <w:iCs/>
          <w:szCs w:val="28"/>
        </w:rPr>
      </w:pPr>
      <w:r w:rsidRPr="00787BF1">
        <w:rPr>
          <w:bCs/>
          <w:iCs/>
          <w:szCs w:val="28"/>
        </w:rPr>
        <w:t xml:space="preserve">Tại Việt Nam, khái niệm TPQT chỉ dần trở lên phổ biến từ sau đổi mới, hội nhập khu vực và quốc tế (năm 1986). Quan điểm phổ biến hiện nay tại Việt Nam coi TPQT thuộc hệ thống pháp luật quốc gia, bao gồm cả bốn lĩnh vực. Các quy phạm về TPQT Việt Nam về cơ bản đã được pháp điển hóa, tuy nhiên còn nằm rải rác ở nhiều văn bản pháp luật khác nhau, như Bộ luật Dân sự, Bộ luật Tố tụng dân sự, Bộ luật Hàng hải, Luật Đầu tư, Luật Hôn nhân và Gia đình, Luật Tương trợ tư pháp, Luật Thương mại…Việt Nam đã là thành viên của Hội nghị Lahaye về Tư pháp quốc tế, đang tích cực ký các điều ước song phương, tham gia các điều ước quốc tế đa phương về TPQT. </w:t>
      </w:r>
    </w:p>
    <w:p w:rsidR="00E35AB2" w:rsidRPr="00787BF1" w:rsidRDefault="00E35AB2" w:rsidP="00E35AB2">
      <w:pPr>
        <w:widowControl w:val="0"/>
        <w:adjustRightInd w:val="0"/>
        <w:snapToGrid w:val="0"/>
        <w:spacing w:before="120"/>
        <w:ind w:firstLine="284"/>
        <w:jc w:val="right"/>
        <w:rPr>
          <w:b/>
          <w:bCs/>
          <w:sz w:val="22"/>
        </w:rPr>
      </w:pPr>
      <w:r w:rsidRPr="00787BF1">
        <w:rPr>
          <w:b/>
          <w:bCs/>
          <w:sz w:val="22"/>
        </w:rPr>
        <w:t>NGUYỄN TIẾN VINH</w:t>
      </w:r>
    </w:p>
    <w:p w:rsidR="00E35AB2" w:rsidRPr="00787BF1" w:rsidRDefault="00E35AB2" w:rsidP="00E35AB2">
      <w:pPr>
        <w:widowControl w:val="0"/>
        <w:adjustRightInd w:val="0"/>
        <w:snapToGrid w:val="0"/>
        <w:spacing w:before="120"/>
        <w:ind w:firstLine="284"/>
        <w:jc w:val="both"/>
        <w:rPr>
          <w:b/>
          <w:bCs/>
          <w:sz w:val="24"/>
        </w:rPr>
      </w:pPr>
      <w:r w:rsidRPr="00787BF1">
        <w:rPr>
          <w:b/>
          <w:bCs/>
          <w:sz w:val="24"/>
        </w:rPr>
        <w:t xml:space="preserve">Tài liệu tham khảo: </w:t>
      </w:r>
    </w:p>
    <w:p w:rsidR="00E35AB2" w:rsidRPr="00787BF1" w:rsidRDefault="00E35AB2" w:rsidP="00E35AB2">
      <w:pPr>
        <w:widowControl w:val="0"/>
        <w:numPr>
          <w:ilvl w:val="0"/>
          <w:numId w:val="1"/>
        </w:numPr>
        <w:tabs>
          <w:tab w:val="left" w:pos="537"/>
          <w:tab w:val="left" w:pos="1053"/>
        </w:tabs>
        <w:adjustRightInd w:val="0"/>
        <w:snapToGrid w:val="0"/>
        <w:spacing w:before="120"/>
        <w:ind w:left="0" w:firstLine="284"/>
        <w:jc w:val="both"/>
        <w:rPr>
          <w:bCs/>
          <w:sz w:val="24"/>
          <w:szCs w:val="24"/>
        </w:rPr>
      </w:pPr>
      <w:r w:rsidRPr="00787BF1">
        <w:rPr>
          <w:bCs/>
          <w:sz w:val="24"/>
          <w:szCs w:val="24"/>
        </w:rPr>
        <w:t xml:space="preserve">Trường Đại học Luật Hà Nội, </w:t>
      </w:r>
      <w:r w:rsidRPr="00787BF1">
        <w:rPr>
          <w:bCs/>
          <w:i/>
          <w:sz w:val="24"/>
          <w:szCs w:val="24"/>
        </w:rPr>
        <w:t>Giáo trình Tư pháp quốc tế</w:t>
      </w:r>
      <w:r w:rsidRPr="00787BF1">
        <w:rPr>
          <w:bCs/>
          <w:sz w:val="24"/>
          <w:szCs w:val="24"/>
        </w:rPr>
        <w:t xml:space="preserve">, </w:t>
      </w:r>
      <w:r>
        <w:rPr>
          <w:bCs/>
          <w:sz w:val="24"/>
          <w:szCs w:val="24"/>
        </w:rPr>
        <w:t>Nxb. Công an nhân dân</w:t>
      </w:r>
      <w:r w:rsidRPr="00787BF1">
        <w:rPr>
          <w:bCs/>
          <w:sz w:val="24"/>
          <w:szCs w:val="24"/>
        </w:rPr>
        <w:t xml:space="preserve">, Hà Nội, 2017. </w:t>
      </w:r>
    </w:p>
    <w:p w:rsidR="00E35AB2" w:rsidRPr="00787BF1" w:rsidRDefault="00E35AB2" w:rsidP="00E35AB2">
      <w:pPr>
        <w:widowControl w:val="0"/>
        <w:numPr>
          <w:ilvl w:val="0"/>
          <w:numId w:val="1"/>
        </w:numPr>
        <w:tabs>
          <w:tab w:val="left" w:pos="537"/>
          <w:tab w:val="left" w:pos="1053"/>
        </w:tabs>
        <w:adjustRightInd w:val="0"/>
        <w:snapToGrid w:val="0"/>
        <w:spacing w:before="120"/>
        <w:ind w:left="0" w:firstLine="284"/>
        <w:jc w:val="both"/>
        <w:rPr>
          <w:bCs/>
          <w:sz w:val="24"/>
          <w:szCs w:val="24"/>
        </w:rPr>
      </w:pPr>
      <w:r w:rsidRPr="00787BF1">
        <w:rPr>
          <w:bCs/>
          <w:sz w:val="24"/>
          <w:szCs w:val="24"/>
        </w:rPr>
        <w:t xml:space="preserve">Khoa Luật, Đại học Quốc gia Hà Nội, </w:t>
      </w:r>
      <w:r w:rsidRPr="00787BF1">
        <w:rPr>
          <w:bCs/>
          <w:i/>
          <w:sz w:val="24"/>
          <w:szCs w:val="24"/>
        </w:rPr>
        <w:t>Giáo trình Tư pháp quốc tế</w:t>
      </w:r>
      <w:r w:rsidRPr="00787BF1">
        <w:rPr>
          <w:bCs/>
          <w:sz w:val="24"/>
          <w:szCs w:val="24"/>
        </w:rPr>
        <w:t xml:space="preserve">, Nxb. Đại học Quốc gia Hà Nội, Hà Nội, 2014. </w:t>
      </w:r>
    </w:p>
    <w:p w:rsidR="00E35AB2" w:rsidRPr="00787BF1" w:rsidRDefault="00E35AB2" w:rsidP="00E35AB2">
      <w:pPr>
        <w:widowControl w:val="0"/>
        <w:numPr>
          <w:ilvl w:val="0"/>
          <w:numId w:val="1"/>
        </w:numPr>
        <w:tabs>
          <w:tab w:val="left" w:pos="537"/>
          <w:tab w:val="left" w:pos="1053"/>
        </w:tabs>
        <w:adjustRightInd w:val="0"/>
        <w:snapToGrid w:val="0"/>
        <w:spacing w:before="120"/>
        <w:ind w:left="0" w:firstLine="284"/>
        <w:jc w:val="both"/>
        <w:rPr>
          <w:bCs/>
          <w:sz w:val="24"/>
          <w:szCs w:val="24"/>
        </w:rPr>
      </w:pPr>
      <w:r w:rsidRPr="00787BF1">
        <w:rPr>
          <w:bCs/>
          <w:i/>
          <w:sz w:val="24"/>
          <w:szCs w:val="24"/>
        </w:rPr>
        <w:t>Từ điển Thuật ngữ pháp luật Pháp – Việt</w:t>
      </w:r>
      <w:r w:rsidRPr="00787BF1">
        <w:rPr>
          <w:bCs/>
          <w:sz w:val="24"/>
          <w:szCs w:val="24"/>
        </w:rPr>
        <w:t xml:space="preserve">, Nxb. Từ điển bách khoa, Hà Nội, 2009. </w:t>
      </w:r>
    </w:p>
    <w:p w:rsidR="00E35AB2" w:rsidRPr="00787BF1" w:rsidRDefault="00E35AB2" w:rsidP="00E35AB2">
      <w:pPr>
        <w:widowControl w:val="0"/>
        <w:numPr>
          <w:ilvl w:val="0"/>
          <w:numId w:val="1"/>
        </w:numPr>
        <w:tabs>
          <w:tab w:val="left" w:pos="537"/>
          <w:tab w:val="left" w:pos="1053"/>
        </w:tabs>
        <w:adjustRightInd w:val="0"/>
        <w:snapToGrid w:val="0"/>
        <w:spacing w:before="120"/>
        <w:ind w:left="0" w:firstLine="284"/>
        <w:jc w:val="both"/>
        <w:rPr>
          <w:bCs/>
          <w:sz w:val="24"/>
          <w:szCs w:val="24"/>
        </w:rPr>
      </w:pPr>
      <w:r w:rsidRPr="00787BF1">
        <w:rPr>
          <w:bCs/>
          <w:sz w:val="24"/>
          <w:szCs w:val="24"/>
        </w:rPr>
        <w:t xml:space="preserve">Symeonides S., </w:t>
      </w:r>
      <w:r w:rsidRPr="00787BF1">
        <w:rPr>
          <w:bCs/>
          <w:i/>
          <w:sz w:val="24"/>
          <w:szCs w:val="24"/>
        </w:rPr>
        <w:t>Codifying Choice of Law around the World: an International Comparative Analysis</w:t>
      </w:r>
      <w:r w:rsidRPr="00787BF1">
        <w:rPr>
          <w:bCs/>
          <w:sz w:val="24"/>
          <w:szCs w:val="24"/>
        </w:rPr>
        <w:t xml:space="preserve">, New York, Oxford University Press, 2017. </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E322C"/>
    <w:multiLevelType w:val="hybridMultilevel"/>
    <w:tmpl w:val="C0CE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B2"/>
    <w:rsid w:val="001324E1"/>
    <w:rsid w:val="005630BE"/>
    <w:rsid w:val="00666C5C"/>
    <w:rsid w:val="00A849F3"/>
    <w:rsid w:val="00E35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D18C4-C93A-4F08-B550-4F13386EC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AB2"/>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E35AB2"/>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E35AB2"/>
    <w:rPr>
      <w:rFonts w:eastAsia="Calibri"/>
      <w:b w:val="0"/>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2025-12-15T04:58:00Z</dcterms:created>
  <dcterms:modified xsi:type="dcterms:W3CDTF">2025-12-15T04:58:00Z</dcterms:modified>
</cp:coreProperties>
</file>